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186"/>
      </w:tblGrid>
      <w:tr w:rsidR="00221AC4" w:rsidRPr="00221AC4" w:rsidTr="00221AC4">
        <w:trPr>
          <w:trHeight w:val="361"/>
        </w:trPr>
        <w:tc>
          <w:tcPr>
            <w:tcW w:w="1453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221AC4" w:rsidRPr="00221AC4" w:rsidRDefault="00221AC4" w:rsidP="00721AE4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Calibri" w:hAnsi="Calibri"/>
                <w:b/>
              </w:rPr>
            </w:pPr>
            <w:r w:rsidRPr="00221AC4">
              <w:rPr>
                <w:rFonts w:ascii="Calibri" w:hAnsi="Calibri"/>
                <w:b/>
              </w:rPr>
              <w:t>OGGETTO:</w:t>
            </w: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7F1E3A" w:rsidRPr="007F1E3A" w:rsidRDefault="007F1E3A" w:rsidP="007F1E3A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SUA </w:t>
            </w:r>
            <w:r w:rsidRPr="007F1E3A">
              <w:rPr>
                <w:rFonts w:ascii="Calibri" w:hAnsi="Calibri"/>
                <w:b/>
                <w:bCs/>
              </w:rPr>
              <w:t>p/c del COMUNE DI LORETO</w:t>
            </w:r>
          </w:p>
          <w:p w:rsidR="007F1E3A" w:rsidRPr="007F1E3A" w:rsidRDefault="007F1E3A" w:rsidP="007F1E3A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7F1E3A" w:rsidRDefault="007F1E3A" w:rsidP="007F1E3A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7F1E3A">
              <w:rPr>
                <w:rFonts w:ascii="Calibri" w:hAnsi="Calibri"/>
                <w:b/>
                <w:bCs/>
              </w:rPr>
              <w:t>GARA EUROPEA A PROCEDURA APERTA per l’affidamento del</w:t>
            </w:r>
            <w:r w:rsidRPr="007F1E3A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  <w:p w:rsidR="00221AC4" w:rsidRPr="00721AE4" w:rsidRDefault="00721AE4" w:rsidP="007F1E3A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721AE4">
              <w:rPr>
                <w:rFonts w:ascii="Calibri" w:hAnsi="Calibri"/>
                <w:b/>
                <w:bCs/>
                <w:i/>
                <w:iCs/>
                <w:color w:val="FF0000"/>
              </w:rPr>
              <w:t>“</w:t>
            </w:r>
            <w:r w:rsidR="007F1E3A" w:rsidRPr="007F1E3A">
              <w:rPr>
                <w:rFonts w:ascii="Calibri" w:hAnsi="Calibri"/>
                <w:b/>
                <w:bCs/>
                <w:iCs/>
                <w:color w:val="FF0000"/>
              </w:rPr>
              <w:t>SERVIZIO DI ACCERTAMENTO E RISCOSSIONE VOLONTARIA E COATTIVA DEL CANONE DI OCCUPAZIONE DEGLI SPAZI ED AREE PUBBLICHE, DELL’IMPOSTA COMUNALE SULLA PUBBLICITA’, DEI DIRITTI SULLE PUBBLICHE AFFISSIONI E DEL SERVIZIO MATERIALE DI PUBBLICHE AFFISSIONI</w:t>
            </w:r>
            <w:r w:rsidR="00221AC4" w:rsidRPr="00721AE4">
              <w:rPr>
                <w:rFonts w:ascii="Calibri" w:hAnsi="Calibri"/>
                <w:color w:val="FF0000"/>
              </w:rPr>
              <w:t>”</w:t>
            </w:r>
            <w:r w:rsidR="007F1E3A">
              <w:rPr>
                <w:rFonts w:ascii="Calibri" w:hAnsi="Calibri"/>
                <w:b/>
                <w:color w:val="000000"/>
              </w:rPr>
              <w:t xml:space="preserve"> -  </w:t>
            </w:r>
            <w:r w:rsidRPr="00721AE4">
              <w:rPr>
                <w:rFonts w:ascii="Times New Roman" w:hAnsi="Times New Roman"/>
                <w:b/>
                <w:bCs/>
                <w:iCs/>
                <w:sz w:val="20"/>
              </w:rPr>
              <w:t xml:space="preserve">CIG: </w:t>
            </w:r>
            <w:r w:rsidR="007F1E3A" w:rsidRPr="007F1E3A">
              <w:rPr>
                <w:rFonts w:ascii="Times New Roman" w:hAnsi="Times New Roman"/>
                <w:b/>
                <w:bCs/>
                <w:iCs/>
                <w:sz w:val="20"/>
              </w:rPr>
              <w:t>7605765BD2</w:t>
            </w:r>
          </w:p>
        </w:tc>
      </w:tr>
      <w:tr w:rsidR="00221AC4" w:rsidRPr="00221AC4" w:rsidTr="00221AC4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221AC4" w:rsidRPr="00221AC4" w:rsidRDefault="00221AC4" w:rsidP="00721AE4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221AC4" w:rsidRPr="00221AC4" w:rsidRDefault="00221AC4" w:rsidP="007F1E3A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  <w:color w:val="FF0000"/>
              </w:rPr>
            </w:pPr>
            <w:r w:rsidRPr="00221AC4">
              <w:rPr>
                <w:rFonts w:ascii="Calibri" w:hAnsi="Calibri"/>
                <w:b/>
                <w:bCs/>
              </w:rPr>
              <w:t xml:space="preserve">Scadenza presentazione offerte: </w:t>
            </w:r>
            <w:r w:rsidR="007F1E3A">
              <w:rPr>
                <w:rFonts w:ascii="Calibri" w:hAnsi="Calibri"/>
                <w:b/>
                <w:bCs/>
                <w:color w:val="FF0000"/>
              </w:rPr>
              <w:t>0</w:t>
            </w:r>
            <w:r w:rsidR="00721AE4">
              <w:rPr>
                <w:rFonts w:ascii="Calibri" w:hAnsi="Calibri"/>
                <w:b/>
                <w:bCs/>
                <w:color w:val="FF0000"/>
              </w:rPr>
              <w:t>4</w:t>
            </w:r>
            <w:r w:rsidRPr="00221AC4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7F1E3A">
              <w:rPr>
                <w:rFonts w:ascii="Calibri" w:hAnsi="Calibri"/>
                <w:b/>
                <w:bCs/>
                <w:color w:val="FF0000"/>
              </w:rPr>
              <w:t>ottobre 2018</w:t>
            </w:r>
            <w:r w:rsidRPr="00221AC4">
              <w:rPr>
                <w:rFonts w:ascii="Calibri" w:hAnsi="Calibri"/>
                <w:b/>
                <w:bCs/>
                <w:color w:val="FF0000"/>
              </w:rPr>
              <w:t>, ore 13.00</w:t>
            </w:r>
          </w:p>
        </w:tc>
      </w:tr>
    </w:tbl>
    <w:p w:rsidR="00221AC4" w:rsidRPr="00221AC4" w:rsidRDefault="00221AC4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1AC4">
        <w:rPr>
          <w:rFonts w:asciiTheme="majorBidi" w:hAnsiTheme="majorBidi" w:cstheme="majorBidi"/>
          <w:b/>
          <w:sz w:val="24"/>
          <w:szCs w:val="24"/>
        </w:rPr>
        <w:t>PATTO DI INTEGRITÀ</w:t>
      </w:r>
      <w:bookmarkStart w:id="0" w:name="_GoBack"/>
      <w:bookmarkEnd w:id="0"/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TRA</w:t>
      </w:r>
    </w:p>
    <w:p w:rsidR="00170A13" w:rsidRPr="00DC08F8" w:rsidRDefault="00DC08F8" w:rsidP="00721AE4">
      <w:pPr>
        <w:widowControl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COMUNE DI LORETO</w:t>
      </w:r>
      <w:r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170A13" w:rsidRPr="00DC08F8">
        <w:rPr>
          <w:rFonts w:asciiTheme="majorBidi" w:hAnsiTheme="majorBidi" w:cstheme="majorBidi"/>
          <w:sz w:val="24"/>
          <w:szCs w:val="24"/>
        </w:rPr>
        <w:t>(di seguito denominato</w:t>
      </w:r>
      <w:r w:rsidR="001836D0"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DC08F8">
        <w:rPr>
          <w:rFonts w:asciiTheme="majorBidi" w:hAnsiTheme="majorBidi" w:cstheme="majorBidi"/>
          <w:i/>
          <w:sz w:val="24"/>
          <w:szCs w:val="24"/>
        </w:rPr>
        <w:t>Amministrazione</w:t>
      </w:r>
      <w:r w:rsidR="00170A13" w:rsidRPr="00DC08F8">
        <w:rPr>
          <w:rFonts w:asciiTheme="majorBidi" w:hAnsiTheme="majorBidi" w:cstheme="majorBidi"/>
          <w:sz w:val="24"/>
          <w:szCs w:val="24"/>
        </w:rPr>
        <w:t>)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E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L’IMPRESA</w:t>
      </w:r>
      <w:r w:rsidRPr="00170A13">
        <w:rPr>
          <w:rFonts w:asciiTheme="majorBidi" w:hAnsiTheme="majorBidi" w:cstheme="majorBidi"/>
          <w:sz w:val="24"/>
          <w:szCs w:val="24"/>
        </w:rPr>
        <w:t xml:space="preserve">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Pr="00170A13">
        <w:rPr>
          <w:rFonts w:asciiTheme="majorBidi" w:hAnsiTheme="majorBidi" w:cstheme="majorBidi"/>
          <w:sz w:val="24"/>
          <w:szCs w:val="24"/>
        </w:rPr>
        <w:t xml:space="preserve"> (di seguito denominata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221AC4">
        <w:rPr>
          <w:rFonts w:asciiTheme="majorBidi" w:hAnsiTheme="majorBidi" w:cstheme="majorBidi"/>
          <w:i/>
          <w:sz w:val="24"/>
          <w:szCs w:val="24"/>
        </w:rPr>
        <w:t>Impresa</w:t>
      </w:r>
      <w:r w:rsidRPr="00170A13">
        <w:rPr>
          <w:rFonts w:asciiTheme="majorBidi" w:hAnsiTheme="majorBidi" w:cstheme="majorBidi"/>
          <w:sz w:val="24"/>
          <w:szCs w:val="24"/>
        </w:rPr>
        <w:t>)</w:t>
      </w:r>
      <w:r w:rsid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con sede legale in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</w:t>
      </w:r>
      <w:r w:rsidR="00221AC4">
        <w:rPr>
          <w:rFonts w:asciiTheme="majorBidi" w:hAnsiTheme="majorBidi" w:cstheme="majorBidi"/>
          <w:sz w:val="24"/>
          <w:szCs w:val="24"/>
        </w:rPr>
        <w:t>________________________</w:t>
      </w:r>
    </w:p>
    <w:p w:rsid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C.F./ P. IVA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rappresentata da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in qualità di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</w:t>
      </w:r>
      <w:proofErr w:type="gramEnd"/>
      <w:r w:rsidR="00221AC4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="00221AC4">
        <w:rPr>
          <w:rFonts w:asciiTheme="majorBidi" w:hAnsiTheme="majorBidi" w:cstheme="majorBidi"/>
          <w:sz w:val="24"/>
          <w:szCs w:val="24"/>
        </w:rPr>
        <w:t xml:space="preserve">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lastRenderedPageBreak/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lastRenderedPageBreak/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 xml:space="preserve">.83, comma 9, del </w:t>
      </w:r>
      <w:proofErr w:type="gramStart"/>
      <w:r w:rsidRPr="0027623E">
        <w:rPr>
          <w:rFonts w:asciiTheme="majorBidi" w:hAnsiTheme="majorBidi" w:cstheme="majorBidi"/>
          <w:sz w:val="24"/>
          <w:szCs w:val="24"/>
        </w:rPr>
        <w:t>d.lgs,n.</w:t>
      </w:r>
      <w:proofErr w:type="gramEnd"/>
      <w:r w:rsidRPr="0027623E">
        <w:rPr>
          <w:rFonts w:asciiTheme="majorBidi" w:hAnsiTheme="majorBidi" w:cstheme="majorBidi"/>
          <w:sz w:val="24"/>
          <w:szCs w:val="24"/>
        </w:rPr>
        <w:t>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lastRenderedPageBreak/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 xml:space="preserve">di non aver conferito incarichi ai soggetti di cui all’art. 53, c. 16-ter, del </w:t>
      </w:r>
      <w:proofErr w:type="spellStart"/>
      <w:proofErr w:type="gramStart"/>
      <w:r w:rsidRPr="00C07DED">
        <w:rPr>
          <w:rFonts w:asciiTheme="majorBidi" w:hAnsiTheme="majorBidi" w:cstheme="majorBidi"/>
          <w:sz w:val="24"/>
          <w:szCs w:val="24"/>
        </w:rPr>
        <w:t>D.Lgs</w:t>
      </w:r>
      <w:proofErr w:type="gramEnd"/>
      <w:r w:rsidRPr="00C07DED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 xml:space="preserve">marzo 2001 cosi come integrate dall’art.21 del </w:t>
      </w:r>
      <w:proofErr w:type="spellStart"/>
      <w:proofErr w:type="gramStart"/>
      <w:r w:rsidRPr="00C07DED">
        <w:rPr>
          <w:rFonts w:asciiTheme="majorBidi" w:hAnsiTheme="majorBidi" w:cstheme="majorBidi"/>
          <w:sz w:val="24"/>
          <w:szCs w:val="24"/>
        </w:rPr>
        <w:t>D.Lgs</w:t>
      </w:r>
      <w:proofErr w:type="gramEnd"/>
      <w:r w:rsidRPr="00C07DED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 xml:space="preserve">all’art.53, comma 16-ter, del </w:t>
      </w:r>
      <w:proofErr w:type="spellStart"/>
      <w:proofErr w:type="gramStart"/>
      <w:r w:rsidRPr="00C07DED">
        <w:rPr>
          <w:rFonts w:asciiTheme="majorBidi" w:hAnsiTheme="majorBidi" w:cstheme="majorBidi"/>
          <w:sz w:val="24"/>
          <w:szCs w:val="24"/>
        </w:rPr>
        <w:t>D.Lgs</w:t>
      </w:r>
      <w:proofErr w:type="gramEnd"/>
      <w:r w:rsidRPr="00C07DED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07DED">
        <w:rPr>
          <w:rFonts w:asciiTheme="majorBidi" w:hAnsiTheme="majorBidi" w:cstheme="majorBidi"/>
          <w:sz w:val="24"/>
          <w:szCs w:val="24"/>
        </w:rPr>
        <w:t>D.Lgs</w:t>
      </w:r>
      <w:proofErr w:type="gramEnd"/>
      <w:r w:rsidRPr="00C07DED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 su richiesta dell’Amministrazi0r1e,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EF3BD2" w:rsidRPr="00775D55">
        <w:rPr>
          <w:rFonts w:asciiTheme="majorBidi" w:hAnsiTheme="majorBidi" w:cstheme="majorBidi"/>
          <w:sz w:val="24"/>
          <w:szCs w:val="24"/>
        </w:rPr>
        <w:t>ndenti del Ministero dell’</w:t>
      </w:r>
      <w:proofErr w:type="spellStart"/>
      <w:r w:rsidR="00EF3BD2" w:rsidRPr="00775D55">
        <w:rPr>
          <w:rFonts w:asciiTheme="majorBidi" w:hAnsiTheme="majorBidi" w:cstheme="majorBidi"/>
          <w:sz w:val="24"/>
          <w:szCs w:val="24"/>
        </w:rPr>
        <w:t>Intemo</w:t>
      </w:r>
      <w:proofErr w:type="spellEnd"/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lastRenderedPageBreak/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95602C" w:rsidRPr="00170A13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FD" w:rsidRDefault="000911FD" w:rsidP="00775D36">
      <w:pPr>
        <w:spacing w:after="0" w:line="240" w:lineRule="auto"/>
      </w:pPr>
      <w:r>
        <w:separator/>
      </w:r>
    </w:p>
  </w:endnote>
  <w:endnote w:type="continuationSeparator" w:id="0">
    <w:p w:rsidR="000911FD" w:rsidRDefault="000911FD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  <w:p w:rsidR="00775D36" w:rsidRDefault="00775D36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FD" w:rsidRDefault="000911FD" w:rsidP="00775D36">
      <w:pPr>
        <w:spacing w:after="0" w:line="240" w:lineRule="auto"/>
      </w:pPr>
      <w:r>
        <w:separator/>
      </w:r>
    </w:p>
  </w:footnote>
  <w:footnote w:type="continuationSeparator" w:id="0">
    <w:p w:rsidR="000911FD" w:rsidRDefault="000911FD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D0"/>
    <w:rsid w:val="000911FD"/>
    <w:rsid w:val="000A374C"/>
    <w:rsid w:val="000C2EE4"/>
    <w:rsid w:val="00170A13"/>
    <w:rsid w:val="001836D0"/>
    <w:rsid w:val="00221AC4"/>
    <w:rsid w:val="0027623E"/>
    <w:rsid w:val="00291DB4"/>
    <w:rsid w:val="002A1D02"/>
    <w:rsid w:val="00490EBE"/>
    <w:rsid w:val="004E1F5C"/>
    <w:rsid w:val="00541B9F"/>
    <w:rsid w:val="005A7715"/>
    <w:rsid w:val="0063167F"/>
    <w:rsid w:val="00695F3F"/>
    <w:rsid w:val="006D3DAF"/>
    <w:rsid w:val="00721AE4"/>
    <w:rsid w:val="00775D36"/>
    <w:rsid w:val="00775D55"/>
    <w:rsid w:val="007F1E3A"/>
    <w:rsid w:val="008B7CFF"/>
    <w:rsid w:val="0095602C"/>
    <w:rsid w:val="00A03751"/>
    <w:rsid w:val="00A41AA1"/>
    <w:rsid w:val="00AE1CF7"/>
    <w:rsid w:val="00AF6EEF"/>
    <w:rsid w:val="00B877F7"/>
    <w:rsid w:val="00BE3A95"/>
    <w:rsid w:val="00C07DED"/>
    <w:rsid w:val="00C32C98"/>
    <w:rsid w:val="00DC08F8"/>
    <w:rsid w:val="00E86B31"/>
    <w:rsid w:val="00EF3BD2"/>
    <w:rsid w:val="00EF5B9E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B70A"/>
  <w15:docId w15:val="{BA83A04D-D9C5-49DF-B666-21C0E2C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AA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96825-26DD-493A-A22D-51618C40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Voltattorni Chiara</cp:lastModifiedBy>
  <cp:revision>14</cp:revision>
  <dcterms:created xsi:type="dcterms:W3CDTF">2017-02-22T08:59:00Z</dcterms:created>
  <dcterms:modified xsi:type="dcterms:W3CDTF">2018-08-28T14:15:00Z</dcterms:modified>
</cp:coreProperties>
</file>